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221" w:type="dxa"/>
        <w:tblLayout w:type="fixed"/>
        <w:tblLook w:val="0000" w:firstRow="0" w:lastRow="0" w:firstColumn="0" w:lastColumn="0" w:noHBand="0" w:noVBand="0"/>
      </w:tblPr>
      <w:tblGrid>
        <w:gridCol w:w="3456"/>
        <w:gridCol w:w="5756"/>
      </w:tblGrid>
      <w:tr w:rsidR="00D81CE4" w:rsidRPr="001527F1" w14:paraId="5AC690F6" w14:textId="77777777" w:rsidTr="000A0D78">
        <w:tc>
          <w:tcPr>
            <w:tcW w:w="3456" w:type="dxa"/>
            <w:tcBorders>
              <w:bottom w:val="single" w:sz="18" w:space="0" w:color="auto"/>
            </w:tcBorders>
          </w:tcPr>
          <w:p w14:paraId="39132210" w14:textId="77777777" w:rsidR="00D81CE4" w:rsidRPr="001527F1" w:rsidRDefault="00D81CE4" w:rsidP="000A0D78">
            <w:pPr>
              <w:rPr>
                <w:rFonts w:ascii="Arial Black" w:hAnsi="Arial Black" w:cs="Arial"/>
                <w:color w:val="999999"/>
                <w:sz w:val="36"/>
                <w:szCs w:val="36"/>
              </w:rPr>
            </w:pPr>
            <w:r w:rsidRPr="001527F1">
              <w:rPr>
                <w:rFonts w:ascii="Arial Black" w:hAnsi="Arial Black" w:cs="Arial"/>
                <w:color w:val="999999"/>
                <w:sz w:val="36"/>
                <w:szCs w:val="36"/>
              </w:rPr>
              <w:t>REPORT FOR:</w:t>
            </w:r>
          </w:p>
          <w:p w14:paraId="2E0E9382" w14:textId="77777777" w:rsidR="00D81CE4" w:rsidRPr="00EC028D" w:rsidRDefault="00D81CE4" w:rsidP="000A0D78">
            <w:pPr>
              <w:rPr>
                <w:rFonts w:ascii="Arial Black" w:hAnsi="Arial Black" w:cs="Arial"/>
                <w:sz w:val="24"/>
                <w:szCs w:val="24"/>
              </w:rPr>
            </w:pPr>
          </w:p>
        </w:tc>
        <w:tc>
          <w:tcPr>
            <w:tcW w:w="5756" w:type="dxa"/>
            <w:tcBorders>
              <w:bottom w:val="single" w:sz="18" w:space="0" w:color="auto"/>
            </w:tcBorders>
          </w:tcPr>
          <w:p w14:paraId="003DB7F3" w14:textId="7B60E8BF" w:rsidR="00D81CE4" w:rsidRPr="001527F1" w:rsidRDefault="00D81CE4" w:rsidP="000A0D78">
            <w:pPr>
              <w:rPr>
                <w:rFonts w:ascii="Arial Black" w:hAnsi="Arial Black" w:cs="Arial"/>
                <w:sz w:val="36"/>
                <w:szCs w:val="36"/>
              </w:rPr>
            </w:pPr>
            <w:r>
              <w:rPr>
                <w:rFonts w:ascii="Arial Black" w:hAnsi="Arial Black" w:cs="Arial"/>
                <w:sz w:val="36"/>
                <w:szCs w:val="36"/>
              </w:rPr>
              <w:t>Planning Committee</w:t>
            </w:r>
          </w:p>
        </w:tc>
      </w:tr>
      <w:tr w:rsidR="00D81CE4" w14:paraId="380497E6" w14:textId="77777777" w:rsidTr="000A0D78">
        <w:tc>
          <w:tcPr>
            <w:tcW w:w="3456" w:type="dxa"/>
            <w:tcBorders>
              <w:top w:val="single" w:sz="18" w:space="0" w:color="auto"/>
            </w:tcBorders>
          </w:tcPr>
          <w:p w14:paraId="0EB4033D" w14:textId="77777777" w:rsidR="00D81CE4" w:rsidRPr="0019569D" w:rsidRDefault="00D81CE4" w:rsidP="000A0D78">
            <w:pPr>
              <w:rPr>
                <w:rFonts w:ascii="Arial" w:hAnsi="Arial" w:cs="Arial"/>
                <w:sz w:val="24"/>
                <w:szCs w:val="24"/>
              </w:rPr>
            </w:pPr>
            <w:r w:rsidRPr="0019569D">
              <w:rPr>
                <w:rFonts w:ascii="Arial" w:hAnsi="Arial" w:cs="Arial"/>
                <w:sz w:val="24"/>
                <w:szCs w:val="24"/>
              </w:rPr>
              <w:t>Date of Meeting:</w:t>
            </w:r>
          </w:p>
          <w:p w14:paraId="2AED032B" w14:textId="77777777" w:rsidR="00D81CE4" w:rsidRPr="0019569D" w:rsidRDefault="00D81CE4" w:rsidP="000A0D78">
            <w:pPr>
              <w:rPr>
                <w:rFonts w:ascii="Arial" w:hAnsi="Arial" w:cs="Arial"/>
                <w:sz w:val="24"/>
                <w:szCs w:val="24"/>
              </w:rPr>
            </w:pPr>
          </w:p>
        </w:tc>
        <w:tc>
          <w:tcPr>
            <w:tcW w:w="5756" w:type="dxa"/>
            <w:tcBorders>
              <w:top w:val="single" w:sz="18" w:space="0" w:color="auto"/>
            </w:tcBorders>
          </w:tcPr>
          <w:p w14:paraId="619F5173" w14:textId="7DAC4FF3" w:rsidR="00D81CE4" w:rsidRPr="0019569D" w:rsidRDefault="00D81CE4" w:rsidP="000A0D78">
            <w:pPr>
              <w:rPr>
                <w:rFonts w:ascii="Arial" w:hAnsi="Arial" w:cs="Arial"/>
                <w:sz w:val="24"/>
                <w:szCs w:val="24"/>
              </w:rPr>
            </w:pPr>
            <w:r w:rsidRPr="0019569D">
              <w:rPr>
                <w:rFonts w:ascii="Arial" w:hAnsi="Arial" w:cs="Arial"/>
                <w:sz w:val="24"/>
                <w:szCs w:val="24"/>
              </w:rPr>
              <w:t>28 September 2022</w:t>
            </w:r>
          </w:p>
        </w:tc>
      </w:tr>
      <w:tr w:rsidR="00D81CE4" w14:paraId="404B22B5" w14:textId="77777777" w:rsidTr="000A0D78">
        <w:tc>
          <w:tcPr>
            <w:tcW w:w="3456" w:type="dxa"/>
          </w:tcPr>
          <w:p w14:paraId="23441458" w14:textId="77777777" w:rsidR="00D81CE4" w:rsidRPr="0019569D" w:rsidRDefault="00D81CE4" w:rsidP="000A0D78">
            <w:pPr>
              <w:rPr>
                <w:rFonts w:ascii="Arial" w:hAnsi="Arial" w:cs="Arial"/>
                <w:sz w:val="24"/>
                <w:szCs w:val="24"/>
              </w:rPr>
            </w:pPr>
            <w:r w:rsidRPr="0019569D">
              <w:rPr>
                <w:rFonts w:ascii="Arial" w:hAnsi="Arial" w:cs="Arial"/>
                <w:sz w:val="24"/>
                <w:szCs w:val="24"/>
              </w:rPr>
              <w:t>Subject:</w:t>
            </w:r>
          </w:p>
          <w:p w14:paraId="05CD39E1" w14:textId="77777777" w:rsidR="00D81CE4" w:rsidRPr="0019569D" w:rsidRDefault="00D81CE4" w:rsidP="000A0D78">
            <w:pPr>
              <w:rPr>
                <w:rFonts w:ascii="Arial" w:hAnsi="Arial" w:cs="Arial"/>
                <w:sz w:val="24"/>
                <w:szCs w:val="24"/>
              </w:rPr>
            </w:pPr>
          </w:p>
        </w:tc>
        <w:tc>
          <w:tcPr>
            <w:tcW w:w="5756" w:type="dxa"/>
          </w:tcPr>
          <w:p w14:paraId="2D323246" w14:textId="325D41E0" w:rsidR="00D81CE4" w:rsidRPr="0019569D" w:rsidRDefault="00D81CE4" w:rsidP="000A0D78">
            <w:pPr>
              <w:rPr>
                <w:rFonts w:ascii="Arial" w:hAnsi="Arial" w:cs="Arial"/>
                <w:i/>
                <w:iCs/>
                <w:sz w:val="24"/>
                <w:szCs w:val="24"/>
              </w:rPr>
            </w:pPr>
            <w:r w:rsidRPr="0019569D">
              <w:rPr>
                <w:rFonts w:ascii="Arial" w:hAnsi="Arial" w:cs="Arial"/>
                <w:b/>
                <w:sz w:val="24"/>
                <w:szCs w:val="24"/>
              </w:rPr>
              <w:t xml:space="preserve">DECISIONS TAKEN UNDER THE URGENCY PROCEDURE - </w:t>
            </w:r>
            <w:r w:rsidR="0025587F">
              <w:rPr>
                <w:rFonts w:ascii="Arial" w:hAnsi="Arial" w:cs="Arial"/>
                <w:b/>
                <w:sz w:val="24"/>
                <w:szCs w:val="24"/>
              </w:rPr>
              <w:t>COMMITTEE</w:t>
            </w:r>
          </w:p>
          <w:p w14:paraId="79BF707B" w14:textId="77777777" w:rsidR="00D81CE4" w:rsidRPr="0019569D" w:rsidRDefault="00D81CE4" w:rsidP="000A0D78">
            <w:pPr>
              <w:rPr>
                <w:rFonts w:ascii="Arial" w:hAnsi="Arial" w:cs="Arial"/>
                <w:i/>
                <w:iCs/>
                <w:sz w:val="24"/>
                <w:szCs w:val="24"/>
              </w:rPr>
            </w:pPr>
          </w:p>
        </w:tc>
      </w:tr>
      <w:tr w:rsidR="00D81CE4" w14:paraId="4599633F" w14:textId="77777777" w:rsidTr="000A0D78">
        <w:tc>
          <w:tcPr>
            <w:tcW w:w="3456" w:type="dxa"/>
          </w:tcPr>
          <w:p w14:paraId="1D7F55B1" w14:textId="77777777" w:rsidR="00D81CE4" w:rsidRPr="0019569D" w:rsidRDefault="00D81CE4" w:rsidP="000A0D78">
            <w:pPr>
              <w:rPr>
                <w:rFonts w:ascii="Arial" w:hAnsi="Arial" w:cs="Arial"/>
                <w:sz w:val="24"/>
                <w:szCs w:val="24"/>
              </w:rPr>
            </w:pPr>
            <w:r w:rsidRPr="0019569D">
              <w:rPr>
                <w:rFonts w:ascii="Arial" w:hAnsi="Arial" w:cs="Arial"/>
                <w:sz w:val="24"/>
                <w:szCs w:val="24"/>
              </w:rPr>
              <w:t>Responsible Officer:</w:t>
            </w:r>
          </w:p>
          <w:p w14:paraId="39073C45" w14:textId="77777777" w:rsidR="00D81CE4" w:rsidRPr="0019569D" w:rsidRDefault="00D81CE4" w:rsidP="000A0D78">
            <w:pPr>
              <w:rPr>
                <w:rFonts w:ascii="Arial" w:hAnsi="Arial" w:cs="Arial"/>
                <w:sz w:val="24"/>
                <w:szCs w:val="24"/>
              </w:rPr>
            </w:pPr>
          </w:p>
        </w:tc>
        <w:tc>
          <w:tcPr>
            <w:tcW w:w="5756" w:type="dxa"/>
          </w:tcPr>
          <w:p w14:paraId="659FFC27" w14:textId="77777777" w:rsidR="00D81CE4" w:rsidRPr="0019569D" w:rsidRDefault="00D81CE4" w:rsidP="000A0D78">
            <w:pPr>
              <w:rPr>
                <w:rFonts w:ascii="Arial" w:hAnsi="Arial" w:cs="Arial"/>
                <w:sz w:val="24"/>
                <w:szCs w:val="24"/>
              </w:rPr>
            </w:pPr>
            <w:r w:rsidRPr="0019569D">
              <w:rPr>
                <w:rFonts w:ascii="Arial" w:hAnsi="Arial" w:cs="Arial"/>
                <w:sz w:val="24"/>
                <w:szCs w:val="24"/>
              </w:rPr>
              <w:t>Hugh Peart – MONITORING OFFICER</w:t>
            </w:r>
          </w:p>
        </w:tc>
      </w:tr>
      <w:tr w:rsidR="00D81CE4" w14:paraId="69E4DAB9" w14:textId="77777777" w:rsidTr="000A0D78">
        <w:tc>
          <w:tcPr>
            <w:tcW w:w="3456" w:type="dxa"/>
          </w:tcPr>
          <w:p w14:paraId="28814420" w14:textId="77777777" w:rsidR="00D81CE4" w:rsidRPr="0019569D" w:rsidRDefault="00D81CE4" w:rsidP="000A0D78">
            <w:pPr>
              <w:rPr>
                <w:rFonts w:ascii="Arial" w:hAnsi="Arial" w:cs="Arial"/>
                <w:sz w:val="24"/>
                <w:szCs w:val="24"/>
              </w:rPr>
            </w:pPr>
            <w:r w:rsidRPr="0019569D">
              <w:rPr>
                <w:rFonts w:ascii="Arial" w:hAnsi="Arial" w:cs="Arial"/>
                <w:sz w:val="24"/>
                <w:szCs w:val="24"/>
              </w:rPr>
              <w:t>Exempt:</w:t>
            </w:r>
          </w:p>
          <w:p w14:paraId="021F4A1C" w14:textId="77777777" w:rsidR="00D81CE4" w:rsidRPr="0019569D" w:rsidRDefault="00D81CE4" w:rsidP="000A0D78">
            <w:pPr>
              <w:rPr>
                <w:rFonts w:ascii="Arial" w:hAnsi="Arial" w:cs="Arial"/>
                <w:sz w:val="24"/>
                <w:szCs w:val="24"/>
              </w:rPr>
            </w:pPr>
          </w:p>
        </w:tc>
        <w:tc>
          <w:tcPr>
            <w:tcW w:w="5756" w:type="dxa"/>
          </w:tcPr>
          <w:p w14:paraId="056AB66B" w14:textId="77777777" w:rsidR="00D81CE4" w:rsidRPr="0019569D" w:rsidRDefault="00D81CE4" w:rsidP="000A0D78">
            <w:pPr>
              <w:rPr>
                <w:rFonts w:ascii="Arial" w:hAnsi="Arial" w:cs="Arial"/>
                <w:sz w:val="24"/>
                <w:szCs w:val="24"/>
              </w:rPr>
            </w:pPr>
            <w:r w:rsidRPr="0019569D">
              <w:rPr>
                <w:rFonts w:ascii="Arial" w:hAnsi="Arial" w:cs="Arial"/>
                <w:sz w:val="24"/>
                <w:szCs w:val="24"/>
              </w:rPr>
              <w:t>No</w:t>
            </w:r>
          </w:p>
        </w:tc>
      </w:tr>
      <w:tr w:rsidR="00D81CE4" w14:paraId="1388D1B9" w14:textId="77777777" w:rsidTr="000A0D78">
        <w:tc>
          <w:tcPr>
            <w:tcW w:w="3456" w:type="dxa"/>
          </w:tcPr>
          <w:p w14:paraId="0BA7D05B" w14:textId="77777777" w:rsidR="00D81CE4" w:rsidRPr="0019569D" w:rsidRDefault="00D81CE4" w:rsidP="000A0D78">
            <w:pPr>
              <w:pStyle w:val="Infotext"/>
              <w:rPr>
                <w:rFonts w:cs="Arial"/>
                <w:sz w:val="24"/>
                <w:szCs w:val="24"/>
              </w:rPr>
            </w:pPr>
            <w:r w:rsidRPr="0019569D">
              <w:rPr>
                <w:rFonts w:cs="Arial"/>
                <w:sz w:val="24"/>
                <w:szCs w:val="24"/>
              </w:rPr>
              <w:t>Enclosures:</w:t>
            </w:r>
          </w:p>
          <w:p w14:paraId="3FF0DF7E" w14:textId="77777777" w:rsidR="00D81CE4" w:rsidRPr="0019569D" w:rsidRDefault="00D81CE4" w:rsidP="000A0D78">
            <w:pPr>
              <w:rPr>
                <w:rFonts w:ascii="Arial" w:hAnsi="Arial" w:cs="Arial"/>
                <w:sz w:val="24"/>
                <w:szCs w:val="24"/>
              </w:rPr>
            </w:pPr>
          </w:p>
        </w:tc>
        <w:tc>
          <w:tcPr>
            <w:tcW w:w="5756" w:type="dxa"/>
          </w:tcPr>
          <w:p w14:paraId="16BAB39A" w14:textId="77777777" w:rsidR="00D81CE4" w:rsidRPr="0019569D" w:rsidRDefault="00D81CE4" w:rsidP="000A0D78">
            <w:pPr>
              <w:rPr>
                <w:rFonts w:ascii="Arial" w:hAnsi="Arial" w:cs="Arial"/>
                <w:sz w:val="24"/>
                <w:szCs w:val="24"/>
              </w:rPr>
            </w:pPr>
            <w:r w:rsidRPr="0019569D">
              <w:rPr>
                <w:rFonts w:ascii="Arial" w:hAnsi="Arial" w:cs="Arial"/>
                <w:sz w:val="24"/>
                <w:szCs w:val="24"/>
              </w:rPr>
              <w:t>None</w:t>
            </w:r>
          </w:p>
        </w:tc>
      </w:tr>
    </w:tbl>
    <w:p w14:paraId="02E25138" w14:textId="77777777" w:rsidR="00D81CE4" w:rsidRDefault="00D81CE4" w:rsidP="00D81CE4">
      <w:pPr>
        <w:rPr>
          <w:rFonts w:ascii="Arial" w:hAnsi="Arial" w:cs="Arial"/>
        </w:rPr>
      </w:pPr>
    </w:p>
    <w:p w14:paraId="6D76DEA6" w14:textId="2B3EE7A1" w:rsidR="00AD2A4F" w:rsidRPr="00AD2A4F" w:rsidRDefault="00AD2A4F" w:rsidP="00AD2A4F">
      <w:pPr>
        <w:jc w:val="both"/>
        <w:rPr>
          <w:rFonts w:ascii="Arial" w:hAnsi="Arial" w:cs="Arial"/>
          <w:sz w:val="24"/>
          <w:szCs w:val="24"/>
        </w:rPr>
      </w:pPr>
      <w:r w:rsidRPr="00AD2A4F">
        <w:rPr>
          <w:rFonts w:ascii="Arial" w:hAnsi="Arial" w:cs="Arial"/>
          <w:sz w:val="24"/>
          <w:szCs w:val="24"/>
        </w:rPr>
        <w:t>In accordance with the delegation to Chief Officers to act on behalf of the authority in cases of urgency and minor matters</w:t>
      </w:r>
      <w:r w:rsidR="00E33F34">
        <w:rPr>
          <w:rFonts w:ascii="Arial" w:hAnsi="Arial" w:cs="Arial"/>
          <w:sz w:val="24"/>
          <w:szCs w:val="24"/>
        </w:rPr>
        <w:t>,</w:t>
      </w:r>
      <w:r w:rsidR="00B55555">
        <w:rPr>
          <w:rFonts w:ascii="Arial" w:hAnsi="Arial" w:cs="Arial"/>
          <w:sz w:val="24"/>
          <w:szCs w:val="24"/>
        </w:rPr>
        <w:t xml:space="preserve"> </w:t>
      </w:r>
      <w:r w:rsidRPr="00AD2A4F">
        <w:rPr>
          <w:rFonts w:ascii="Arial" w:hAnsi="Arial" w:cs="Arial"/>
          <w:sz w:val="24"/>
          <w:szCs w:val="24"/>
        </w:rPr>
        <w:t>the Chairman of the Planning Committee, the Nominated Member</w:t>
      </w:r>
      <w:r w:rsidR="00985956">
        <w:rPr>
          <w:rFonts w:ascii="Arial" w:hAnsi="Arial" w:cs="Arial"/>
          <w:sz w:val="24"/>
          <w:szCs w:val="24"/>
        </w:rPr>
        <w:t>, and Councillor Simon Brown</w:t>
      </w:r>
      <w:r w:rsidRPr="00AD2A4F">
        <w:rPr>
          <w:rFonts w:ascii="Arial" w:hAnsi="Arial" w:cs="Arial"/>
          <w:sz w:val="24"/>
          <w:szCs w:val="24"/>
        </w:rPr>
        <w:t xml:space="preserve"> were consulted on the following urgent decision, which was approved on behalf of the Planning Committee on </w:t>
      </w:r>
      <w:r w:rsidR="0063059C">
        <w:rPr>
          <w:rFonts w:ascii="Arial" w:hAnsi="Arial" w:cs="Arial"/>
          <w:sz w:val="24"/>
          <w:szCs w:val="24"/>
        </w:rPr>
        <w:t>13 September 2022</w:t>
      </w:r>
      <w:r w:rsidR="00E33F34">
        <w:rPr>
          <w:rFonts w:ascii="Arial" w:hAnsi="Arial" w:cs="Arial"/>
          <w:sz w:val="24"/>
          <w:szCs w:val="24"/>
        </w:rPr>
        <w:t>,</w:t>
      </w:r>
      <w:r w:rsidRPr="00AD2A4F">
        <w:rPr>
          <w:rFonts w:ascii="Arial" w:hAnsi="Arial" w:cs="Arial"/>
          <w:sz w:val="24"/>
          <w:szCs w:val="24"/>
        </w:rPr>
        <w:t xml:space="preserve"> as it required action prior to this meeting.</w:t>
      </w:r>
      <w:r w:rsidR="00985956">
        <w:rPr>
          <w:rFonts w:ascii="Arial" w:hAnsi="Arial" w:cs="Arial"/>
          <w:sz w:val="24"/>
          <w:szCs w:val="24"/>
        </w:rPr>
        <w:t xml:space="preserve"> A</w:t>
      </w:r>
      <w:r w:rsidR="00985956" w:rsidRPr="00985956">
        <w:rPr>
          <w:rFonts w:ascii="Arial" w:hAnsi="Arial" w:cs="Arial"/>
          <w:sz w:val="24"/>
          <w:szCs w:val="24"/>
        </w:rPr>
        <w:t xml:space="preserve">ll </w:t>
      </w:r>
      <w:r w:rsidR="00985956">
        <w:rPr>
          <w:rFonts w:ascii="Arial" w:hAnsi="Arial" w:cs="Arial"/>
          <w:sz w:val="24"/>
          <w:szCs w:val="24"/>
        </w:rPr>
        <w:t>three C</w:t>
      </w:r>
      <w:r w:rsidR="00985956" w:rsidRPr="00985956">
        <w:rPr>
          <w:rFonts w:ascii="Arial" w:hAnsi="Arial" w:cs="Arial"/>
          <w:sz w:val="24"/>
          <w:szCs w:val="24"/>
        </w:rPr>
        <w:t>ouncillors supported the recommendation</w:t>
      </w:r>
      <w:r w:rsidR="00985956">
        <w:rPr>
          <w:rFonts w:ascii="Arial" w:hAnsi="Arial" w:cs="Arial"/>
          <w:sz w:val="24"/>
          <w:szCs w:val="24"/>
        </w:rPr>
        <w:t>.</w:t>
      </w:r>
    </w:p>
    <w:p w14:paraId="0448810B" w14:textId="77777777" w:rsidR="00AD2A4F" w:rsidRPr="00AD2A4F" w:rsidRDefault="00AD2A4F" w:rsidP="00AD2A4F">
      <w:pPr>
        <w:jc w:val="both"/>
        <w:rPr>
          <w:rFonts w:ascii="Arial" w:hAnsi="Arial" w:cs="Arial"/>
          <w:sz w:val="24"/>
          <w:szCs w:val="24"/>
        </w:rPr>
      </w:pPr>
    </w:p>
    <w:p w14:paraId="3FCB61E8" w14:textId="311B10AB" w:rsidR="00815257" w:rsidRPr="00B55555" w:rsidRDefault="00815257" w:rsidP="00D81CE4">
      <w:pPr>
        <w:jc w:val="both"/>
        <w:rPr>
          <w:rFonts w:ascii="Arial" w:hAnsi="Arial" w:cs="Arial"/>
          <w:sz w:val="24"/>
          <w:szCs w:val="24"/>
          <w:lang w:val="en-US"/>
        </w:rPr>
      </w:pPr>
      <w:r w:rsidRPr="00B55555">
        <w:rPr>
          <w:rFonts w:ascii="Arial" w:hAnsi="Arial" w:cs="Arial"/>
          <w:b/>
          <w:sz w:val="24"/>
          <w:szCs w:val="24"/>
          <w:bdr w:val="none" w:sz="0" w:space="0" w:color="auto" w:frame="1"/>
        </w:rPr>
        <w:t>1/01, Stanmore &amp; Edgware Golf Centre, Brockley Hill, P/3088/20</w:t>
      </w:r>
      <w:bookmarkStart w:id="0" w:name="LastEdit"/>
      <w:bookmarkEnd w:id="0"/>
    </w:p>
    <w:p w14:paraId="1908572C" w14:textId="77777777" w:rsidR="00D81CE4" w:rsidRPr="00B55555" w:rsidRDefault="00D81CE4" w:rsidP="00D81CE4">
      <w:pPr>
        <w:jc w:val="both"/>
        <w:rPr>
          <w:rFonts w:ascii="Arial" w:hAnsi="Arial" w:cs="Arial"/>
          <w:sz w:val="24"/>
          <w:szCs w:val="24"/>
          <w:lang w:val="en-US"/>
        </w:rPr>
      </w:pPr>
    </w:p>
    <w:p w14:paraId="51F57858" w14:textId="7148038E" w:rsidR="0019569D" w:rsidRPr="0019569D" w:rsidRDefault="0025587F" w:rsidP="0019569D">
      <w:pPr>
        <w:ind w:firstLine="27"/>
        <w:jc w:val="both"/>
        <w:rPr>
          <w:rFonts w:ascii="Arial" w:hAnsi="Arial" w:cs="Arial"/>
          <w:sz w:val="24"/>
          <w:szCs w:val="24"/>
          <w:lang w:val="en-US"/>
        </w:rPr>
      </w:pPr>
      <w:r>
        <w:rPr>
          <w:rFonts w:ascii="Arial" w:hAnsi="Arial" w:cs="Arial"/>
          <w:sz w:val="24"/>
          <w:szCs w:val="24"/>
          <w:lang w:val="en-US"/>
        </w:rPr>
        <w:t>O</w:t>
      </w:r>
      <w:r w:rsidRPr="0019569D">
        <w:rPr>
          <w:rFonts w:ascii="Arial" w:hAnsi="Arial" w:cs="Arial"/>
          <w:sz w:val="24"/>
          <w:szCs w:val="24"/>
          <w:lang w:val="en-US"/>
        </w:rPr>
        <w:t>n 17 November 2021</w:t>
      </w:r>
      <w:r>
        <w:rPr>
          <w:rFonts w:ascii="Arial" w:hAnsi="Arial" w:cs="Arial"/>
          <w:sz w:val="24"/>
          <w:szCs w:val="24"/>
          <w:lang w:val="en-US"/>
        </w:rPr>
        <w:t>,</w:t>
      </w:r>
      <w:r w:rsidRPr="0019569D">
        <w:rPr>
          <w:rFonts w:ascii="Arial" w:hAnsi="Arial" w:cs="Arial"/>
          <w:sz w:val="24"/>
          <w:szCs w:val="24"/>
          <w:lang w:val="en-US"/>
        </w:rPr>
        <w:t xml:space="preserve"> </w:t>
      </w:r>
      <w:r>
        <w:rPr>
          <w:rFonts w:ascii="Arial" w:hAnsi="Arial" w:cs="Arial"/>
          <w:sz w:val="24"/>
          <w:szCs w:val="24"/>
          <w:lang w:val="en-US"/>
        </w:rPr>
        <w:t>t</w:t>
      </w:r>
      <w:r w:rsidRPr="0019569D">
        <w:rPr>
          <w:rFonts w:ascii="Arial" w:hAnsi="Arial" w:cs="Arial"/>
          <w:sz w:val="24"/>
          <w:szCs w:val="24"/>
          <w:lang w:val="en-US"/>
        </w:rPr>
        <w:t xml:space="preserve">he </w:t>
      </w:r>
      <w:r>
        <w:rPr>
          <w:rFonts w:ascii="Arial" w:hAnsi="Arial" w:cs="Arial"/>
          <w:sz w:val="24"/>
          <w:szCs w:val="24"/>
          <w:lang w:val="en-US"/>
        </w:rPr>
        <w:t>P</w:t>
      </w:r>
      <w:r w:rsidRPr="0019569D">
        <w:rPr>
          <w:rFonts w:ascii="Arial" w:hAnsi="Arial" w:cs="Arial"/>
          <w:sz w:val="24"/>
          <w:szCs w:val="24"/>
          <w:lang w:val="en-US"/>
        </w:rPr>
        <w:t xml:space="preserve">lanning </w:t>
      </w:r>
      <w:r>
        <w:rPr>
          <w:rFonts w:ascii="Arial" w:hAnsi="Arial" w:cs="Arial"/>
          <w:sz w:val="24"/>
          <w:szCs w:val="24"/>
          <w:lang w:val="en-US"/>
        </w:rPr>
        <w:t>C</w:t>
      </w:r>
      <w:r w:rsidRPr="0019569D">
        <w:rPr>
          <w:rFonts w:ascii="Arial" w:hAnsi="Arial" w:cs="Arial"/>
          <w:sz w:val="24"/>
          <w:szCs w:val="24"/>
          <w:lang w:val="en-US"/>
        </w:rPr>
        <w:t xml:space="preserve">ommittee </w:t>
      </w:r>
      <w:r>
        <w:rPr>
          <w:rFonts w:ascii="Arial" w:hAnsi="Arial" w:cs="Arial"/>
          <w:sz w:val="24"/>
          <w:szCs w:val="24"/>
          <w:lang w:val="en-US"/>
        </w:rPr>
        <w:t>refused</w:t>
      </w:r>
      <w:r w:rsidR="0019569D" w:rsidRPr="0019569D">
        <w:rPr>
          <w:rFonts w:ascii="Arial" w:hAnsi="Arial" w:cs="Arial"/>
          <w:sz w:val="24"/>
          <w:szCs w:val="24"/>
          <w:lang w:val="en-US"/>
        </w:rPr>
        <w:t xml:space="preserve"> planning permission</w:t>
      </w:r>
      <w:r w:rsidR="0019569D">
        <w:rPr>
          <w:rFonts w:ascii="Arial" w:hAnsi="Arial" w:cs="Arial"/>
          <w:sz w:val="24"/>
          <w:szCs w:val="24"/>
          <w:lang w:val="en-US"/>
        </w:rPr>
        <w:t xml:space="preserve"> </w:t>
      </w:r>
      <w:r w:rsidR="0019569D" w:rsidRPr="0019569D">
        <w:rPr>
          <w:rFonts w:ascii="Arial" w:hAnsi="Arial" w:cs="Arial"/>
          <w:sz w:val="24"/>
          <w:szCs w:val="24"/>
          <w:lang w:val="en-US"/>
        </w:rPr>
        <w:t>for 3 reasons as follows:</w:t>
      </w:r>
    </w:p>
    <w:p w14:paraId="5116B729" w14:textId="77777777" w:rsidR="0019569D" w:rsidRPr="0019569D" w:rsidRDefault="0019569D" w:rsidP="0019569D">
      <w:pPr>
        <w:ind w:left="540" w:hanging="540"/>
        <w:rPr>
          <w:rFonts w:ascii="Arial" w:hAnsi="Arial" w:cs="Arial"/>
          <w:sz w:val="24"/>
          <w:szCs w:val="24"/>
          <w:lang w:val="en-US"/>
        </w:rPr>
      </w:pPr>
    </w:p>
    <w:p w14:paraId="6F7D8F03" w14:textId="7A79355D" w:rsidR="0019569D" w:rsidRDefault="0019569D" w:rsidP="0019569D">
      <w:pPr>
        <w:pStyle w:val="ListParagraph"/>
        <w:numPr>
          <w:ilvl w:val="0"/>
          <w:numId w:val="1"/>
        </w:numPr>
        <w:jc w:val="both"/>
        <w:rPr>
          <w:rFonts w:ascii="Arial" w:hAnsi="Arial" w:cs="Arial"/>
          <w:sz w:val="24"/>
          <w:szCs w:val="24"/>
          <w:lang w:val="en-US"/>
        </w:rPr>
      </w:pPr>
      <w:r w:rsidRPr="0019569D">
        <w:rPr>
          <w:rFonts w:ascii="Arial" w:hAnsi="Arial" w:cs="Arial"/>
          <w:sz w:val="24"/>
          <w:szCs w:val="24"/>
          <w:lang w:val="en-US"/>
        </w:rPr>
        <w:t>The proposed development would have a greater impact on the openness of the Green Belt than the existing development on the application site. The proposed development would therefore constitute inappropriate development in the Green Belt, to the detriment of the character, appearance and openness of the Green Belt, contrary to the National Planning Policy Framework (2021), policy G2 of The London Plan (2021), Core policy CS 1 F of the Harrow Core Strategy (2012), and policy DM 16 of the Harrow Development Management Policies Local Plan (2013), and no very special circumstances have been demonstrated by the applicant whereby the harm by reason of inappropriateness is outweighed by other considerations</w:t>
      </w:r>
      <w:r>
        <w:rPr>
          <w:rFonts w:ascii="Arial" w:hAnsi="Arial" w:cs="Arial"/>
          <w:sz w:val="24"/>
          <w:szCs w:val="24"/>
          <w:lang w:val="en-US"/>
        </w:rPr>
        <w:t xml:space="preserve">; </w:t>
      </w:r>
    </w:p>
    <w:p w14:paraId="3EE44E3E" w14:textId="77777777" w:rsidR="0019569D" w:rsidRPr="0019569D" w:rsidRDefault="0019569D" w:rsidP="0019569D">
      <w:pPr>
        <w:ind w:left="540" w:hanging="540"/>
        <w:rPr>
          <w:rFonts w:ascii="Arial" w:hAnsi="Arial" w:cs="Arial"/>
          <w:sz w:val="24"/>
          <w:szCs w:val="24"/>
          <w:lang w:val="en-US"/>
        </w:rPr>
      </w:pPr>
    </w:p>
    <w:p w14:paraId="579A6695" w14:textId="5D3DD9F6" w:rsidR="0019569D" w:rsidRDefault="0019569D" w:rsidP="0019569D">
      <w:pPr>
        <w:pStyle w:val="ListParagraph"/>
        <w:numPr>
          <w:ilvl w:val="0"/>
          <w:numId w:val="1"/>
        </w:numPr>
        <w:jc w:val="both"/>
        <w:rPr>
          <w:rFonts w:ascii="Arial" w:hAnsi="Arial" w:cs="Arial"/>
          <w:sz w:val="24"/>
          <w:szCs w:val="24"/>
          <w:lang w:val="en-US"/>
        </w:rPr>
      </w:pPr>
      <w:r w:rsidRPr="0019569D">
        <w:rPr>
          <w:rFonts w:ascii="Arial" w:hAnsi="Arial" w:cs="Arial"/>
          <w:sz w:val="24"/>
          <w:szCs w:val="24"/>
          <w:lang w:val="en-US"/>
        </w:rPr>
        <w:t>The proposed building, by reason of its design and form, would appear as unsympathetic and obtrusive in an open setting, to the detriment of the character and appearance of the locality within the context of a Green Belt site, contrary to policy D1, G2 London Plan (2021), policy CS1.B of the Harrow Core Strategy (2012) and policy DM1 of the Development Management Policies (2013)</w:t>
      </w:r>
      <w:r>
        <w:rPr>
          <w:rFonts w:ascii="Arial" w:hAnsi="Arial" w:cs="Arial"/>
          <w:sz w:val="24"/>
          <w:szCs w:val="24"/>
          <w:lang w:val="en-US"/>
        </w:rPr>
        <w:t xml:space="preserve">; and </w:t>
      </w:r>
    </w:p>
    <w:p w14:paraId="25E41E78" w14:textId="77777777" w:rsidR="00B55555" w:rsidRPr="00B55555" w:rsidRDefault="00B55555" w:rsidP="00B55555">
      <w:pPr>
        <w:pStyle w:val="ListParagraph"/>
        <w:rPr>
          <w:rFonts w:ascii="Arial" w:hAnsi="Arial" w:cs="Arial"/>
          <w:sz w:val="24"/>
          <w:szCs w:val="24"/>
          <w:lang w:val="en-US"/>
        </w:rPr>
      </w:pPr>
    </w:p>
    <w:p w14:paraId="28DF9F04" w14:textId="6D05214D" w:rsidR="00B55555" w:rsidRDefault="00B55555" w:rsidP="00B55555">
      <w:pPr>
        <w:jc w:val="both"/>
        <w:rPr>
          <w:rFonts w:ascii="Arial" w:hAnsi="Arial" w:cs="Arial"/>
          <w:sz w:val="24"/>
          <w:szCs w:val="24"/>
          <w:lang w:val="en-US"/>
        </w:rPr>
      </w:pPr>
    </w:p>
    <w:p w14:paraId="78DB6E5F" w14:textId="77777777" w:rsidR="00B55555" w:rsidRPr="00B55555" w:rsidRDefault="00B55555" w:rsidP="00B55555">
      <w:pPr>
        <w:jc w:val="both"/>
        <w:rPr>
          <w:rFonts w:ascii="Arial" w:hAnsi="Arial" w:cs="Arial"/>
          <w:sz w:val="24"/>
          <w:szCs w:val="24"/>
          <w:lang w:val="en-US"/>
        </w:rPr>
      </w:pPr>
    </w:p>
    <w:p w14:paraId="608CA02F" w14:textId="6DA6E24C" w:rsidR="0063059C" w:rsidRDefault="0063059C" w:rsidP="0063059C">
      <w:pPr>
        <w:jc w:val="both"/>
        <w:rPr>
          <w:rFonts w:ascii="Arial" w:hAnsi="Arial" w:cs="Arial"/>
          <w:sz w:val="24"/>
          <w:szCs w:val="24"/>
          <w:lang w:val="en-US"/>
        </w:rPr>
      </w:pPr>
    </w:p>
    <w:p w14:paraId="364466F6" w14:textId="792EADD3" w:rsidR="0063059C" w:rsidRDefault="0063059C" w:rsidP="0063059C">
      <w:pPr>
        <w:jc w:val="both"/>
        <w:rPr>
          <w:rFonts w:ascii="Arial" w:hAnsi="Arial" w:cs="Arial"/>
          <w:sz w:val="24"/>
          <w:szCs w:val="24"/>
          <w:lang w:val="en-US"/>
        </w:rPr>
      </w:pPr>
    </w:p>
    <w:p w14:paraId="0ECF7C47" w14:textId="77777777" w:rsidR="0063059C" w:rsidRPr="00B55555" w:rsidRDefault="0063059C" w:rsidP="00B55555">
      <w:pPr>
        <w:jc w:val="both"/>
        <w:rPr>
          <w:rFonts w:ascii="Arial" w:hAnsi="Arial" w:cs="Arial"/>
          <w:sz w:val="24"/>
          <w:szCs w:val="24"/>
          <w:lang w:val="en-US"/>
        </w:rPr>
      </w:pPr>
    </w:p>
    <w:p w14:paraId="595E3599" w14:textId="77777777" w:rsidR="0019569D" w:rsidRPr="0019569D" w:rsidRDefault="0019569D" w:rsidP="0019569D">
      <w:pPr>
        <w:ind w:left="540" w:hanging="540"/>
        <w:rPr>
          <w:rFonts w:ascii="Arial" w:hAnsi="Arial" w:cs="Arial"/>
          <w:sz w:val="24"/>
          <w:szCs w:val="24"/>
          <w:lang w:val="en-US"/>
        </w:rPr>
      </w:pPr>
    </w:p>
    <w:p w14:paraId="0E3B15C3" w14:textId="02D7205E" w:rsidR="0019569D" w:rsidRPr="0019569D" w:rsidRDefault="0019569D" w:rsidP="0019569D">
      <w:pPr>
        <w:pStyle w:val="ListParagraph"/>
        <w:numPr>
          <w:ilvl w:val="0"/>
          <w:numId w:val="1"/>
        </w:numPr>
        <w:jc w:val="both"/>
        <w:rPr>
          <w:rFonts w:ascii="Arial" w:hAnsi="Arial" w:cs="Arial"/>
          <w:sz w:val="24"/>
          <w:szCs w:val="24"/>
          <w:lang w:val="en-US"/>
        </w:rPr>
      </w:pPr>
      <w:r w:rsidRPr="0019569D">
        <w:rPr>
          <w:rFonts w:ascii="Arial" w:hAnsi="Arial" w:cs="Arial"/>
          <w:sz w:val="24"/>
          <w:szCs w:val="24"/>
          <w:lang w:val="en-US"/>
        </w:rPr>
        <w:t>The proposed development, by reason of failure to provide adequate on-site or off-site car / coach parking and lack of integrated drop off facilities to serve the proposed banqueting facility, would significantly intensify site usage and generated trips. The associated likely on site congestion and parking overspill into the London Borough of Harrow and the London Borough of Barnet, with particular reference to the residential streets to the south-east of the site, is therefore considered to be detrimental to highway and pedestrian safety, and the amenities of neighbouring occupiers, contrary to the National Planning Policy Framework (2021), Policy T4 of The London Plan (2021), and policies DM 42 E and F, DM 1 B (f) (C) and D (h), policy DM 42 E and F and DM 43 B and C of the Harrow Development Management policies Local Plan (2013). </w:t>
      </w:r>
    </w:p>
    <w:p w14:paraId="0BBE91E4" w14:textId="77777777" w:rsidR="0019569D" w:rsidRPr="0019569D" w:rsidRDefault="0019569D" w:rsidP="0019569D">
      <w:pPr>
        <w:ind w:left="540" w:hanging="540"/>
        <w:rPr>
          <w:rFonts w:ascii="Arial" w:hAnsi="Arial" w:cs="Arial"/>
          <w:sz w:val="24"/>
          <w:szCs w:val="24"/>
          <w:lang w:val="en-US"/>
        </w:rPr>
      </w:pPr>
    </w:p>
    <w:p w14:paraId="28EF8636" w14:textId="77777777" w:rsidR="0019569D" w:rsidRPr="0019569D" w:rsidRDefault="0019569D" w:rsidP="0019569D">
      <w:pPr>
        <w:jc w:val="both"/>
        <w:rPr>
          <w:rFonts w:ascii="Arial" w:hAnsi="Arial" w:cs="Arial"/>
          <w:sz w:val="24"/>
          <w:szCs w:val="24"/>
          <w:lang w:val="en-US"/>
        </w:rPr>
      </w:pPr>
      <w:r w:rsidRPr="0019569D">
        <w:rPr>
          <w:rFonts w:ascii="Arial" w:hAnsi="Arial" w:cs="Arial"/>
          <w:sz w:val="24"/>
          <w:szCs w:val="24"/>
          <w:lang w:val="en-US"/>
        </w:rPr>
        <w:t xml:space="preserve">The applicant has appealed the refusal. The Council has instructed Counsel to represent the Council at the public inquiry.  </w:t>
      </w:r>
    </w:p>
    <w:p w14:paraId="07FC89CE" w14:textId="77777777" w:rsidR="0019569D" w:rsidRPr="0019569D" w:rsidRDefault="0019569D" w:rsidP="0019569D">
      <w:pPr>
        <w:ind w:left="540" w:hanging="540"/>
        <w:jc w:val="both"/>
        <w:rPr>
          <w:rFonts w:ascii="Arial" w:hAnsi="Arial" w:cs="Arial"/>
          <w:sz w:val="24"/>
          <w:szCs w:val="24"/>
          <w:lang w:val="en-US"/>
        </w:rPr>
      </w:pPr>
    </w:p>
    <w:p w14:paraId="6A02DDF2" w14:textId="1B26DFF0" w:rsidR="0063059C" w:rsidRPr="00B55555" w:rsidRDefault="0019569D" w:rsidP="00B55555">
      <w:pPr>
        <w:tabs>
          <w:tab w:val="left" w:pos="0"/>
          <w:tab w:val="left" w:pos="5040"/>
          <w:tab w:val="left" w:pos="6840"/>
          <w:tab w:val="left" w:pos="9360"/>
        </w:tabs>
        <w:jc w:val="both"/>
        <w:rPr>
          <w:rFonts w:ascii="Arial" w:hAnsi="Arial" w:cs="Arial"/>
          <w:sz w:val="24"/>
          <w:szCs w:val="24"/>
        </w:rPr>
      </w:pPr>
      <w:r w:rsidRPr="0019569D">
        <w:rPr>
          <w:rFonts w:ascii="Arial" w:hAnsi="Arial" w:cs="Arial"/>
          <w:sz w:val="24"/>
          <w:szCs w:val="24"/>
          <w:lang w:val="en-US"/>
        </w:rPr>
        <w:t xml:space="preserve">The Council’s highway officers have carried out a survey of the roads surrounding the application site and have found that parking is possible on some side roads without impacting on highway safety. </w:t>
      </w:r>
      <w:r w:rsidR="0063059C">
        <w:rPr>
          <w:rFonts w:ascii="Arial" w:hAnsi="Arial" w:cs="Arial"/>
          <w:sz w:val="24"/>
          <w:szCs w:val="24"/>
          <w:lang w:val="en-US"/>
        </w:rPr>
        <w:t>I</w:t>
      </w:r>
      <w:r w:rsidR="0063059C" w:rsidRPr="00B55555">
        <w:rPr>
          <w:rFonts w:ascii="Arial" w:hAnsi="Arial" w:cs="Arial"/>
          <w:sz w:val="24"/>
          <w:szCs w:val="24"/>
        </w:rPr>
        <w:t xml:space="preserve">t has </w:t>
      </w:r>
      <w:r w:rsidR="0063059C">
        <w:rPr>
          <w:rFonts w:ascii="Arial" w:hAnsi="Arial" w:cs="Arial"/>
          <w:sz w:val="24"/>
          <w:szCs w:val="24"/>
        </w:rPr>
        <w:t xml:space="preserve">therefore </w:t>
      </w:r>
      <w:r w:rsidR="0063059C" w:rsidRPr="00B55555">
        <w:rPr>
          <w:rFonts w:ascii="Arial" w:hAnsi="Arial" w:cs="Arial"/>
          <w:sz w:val="24"/>
          <w:szCs w:val="24"/>
        </w:rPr>
        <w:t xml:space="preserve">been agreed that reason 3 above will only be defended in relation to matters of highway safety on </w:t>
      </w:r>
      <w:bookmarkStart w:id="1" w:name="_Hlk113888166"/>
      <w:r w:rsidR="0063059C" w:rsidRPr="00B55555">
        <w:rPr>
          <w:rFonts w:ascii="Arial" w:hAnsi="Arial" w:cs="Arial"/>
          <w:sz w:val="24"/>
          <w:szCs w:val="24"/>
        </w:rPr>
        <w:t>Brockley Hill</w:t>
      </w:r>
      <w:bookmarkEnd w:id="1"/>
      <w:r w:rsidR="0063059C" w:rsidRPr="00B55555">
        <w:rPr>
          <w:rFonts w:ascii="Arial" w:hAnsi="Arial" w:cs="Arial"/>
          <w:sz w:val="24"/>
          <w:szCs w:val="24"/>
        </w:rPr>
        <w:t>.  The other aspects of the reason for refusal relating to residential amenity will remain the same.</w:t>
      </w:r>
    </w:p>
    <w:p w14:paraId="0B097092" w14:textId="77777777" w:rsidR="0063059C" w:rsidRPr="00B55555" w:rsidRDefault="0063059C" w:rsidP="0063059C">
      <w:pPr>
        <w:tabs>
          <w:tab w:val="left" w:pos="0"/>
          <w:tab w:val="left" w:pos="5040"/>
          <w:tab w:val="left" w:pos="6840"/>
          <w:tab w:val="left" w:pos="9360"/>
        </w:tabs>
        <w:rPr>
          <w:rFonts w:ascii="Arial" w:hAnsi="Arial" w:cs="Arial"/>
          <w:sz w:val="24"/>
          <w:szCs w:val="24"/>
        </w:rPr>
      </w:pPr>
    </w:p>
    <w:p w14:paraId="04305AD9" w14:textId="67EB944F" w:rsidR="0063059C" w:rsidRPr="00B55555" w:rsidRDefault="0063059C" w:rsidP="0063059C">
      <w:pPr>
        <w:tabs>
          <w:tab w:val="left" w:pos="0"/>
          <w:tab w:val="left" w:pos="5040"/>
          <w:tab w:val="left" w:pos="6840"/>
          <w:tab w:val="left" w:pos="9360"/>
        </w:tabs>
        <w:rPr>
          <w:rFonts w:ascii="Arial" w:hAnsi="Arial" w:cs="Arial"/>
          <w:sz w:val="24"/>
          <w:szCs w:val="24"/>
        </w:rPr>
      </w:pPr>
      <w:r>
        <w:rPr>
          <w:rFonts w:ascii="Arial" w:hAnsi="Arial" w:cs="Arial"/>
          <w:sz w:val="24"/>
          <w:szCs w:val="24"/>
        </w:rPr>
        <w:t>An urgent non-executive decision was therefore taken in accordance with Part 3B of the Constitution</w:t>
      </w:r>
      <w:r w:rsidRPr="0063059C">
        <w:rPr>
          <w:rFonts w:ascii="Arial" w:hAnsi="Arial" w:cs="Arial"/>
          <w:sz w:val="24"/>
          <w:szCs w:val="24"/>
        </w:rPr>
        <w:t xml:space="preserve"> </w:t>
      </w:r>
      <w:r w:rsidRPr="00B55555">
        <w:rPr>
          <w:rFonts w:ascii="Arial" w:hAnsi="Arial" w:cs="Arial"/>
          <w:sz w:val="24"/>
          <w:szCs w:val="24"/>
        </w:rPr>
        <w:t>to amend reason 3 as follows</w:t>
      </w:r>
      <w:r>
        <w:rPr>
          <w:rFonts w:ascii="Arial" w:hAnsi="Arial" w:cs="Arial"/>
          <w:sz w:val="24"/>
          <w:szCs w:val="24"/>
        </w:rPr>
        <w:t>:</w:t>
      </w:r>
    </w:p>
    <w:p w14:paraId="4E19E716" w14:textId="77777777" w:rsidR="0063059C" w:rsidRPr="00B55555" w:rsidRDefault="0063059C" w:rsidP="0063059C">
      <w:pPr>
        <w:tabs>
          <w:tab w:val="left" w:pos="0"/>
          <w:tab w:val="left" w:pos="5040"/>
          <w:tab w:val="left" w:pos="6840"/>
          <w:tab w:val="left" w:pos="9360"/>
        </w:tabs>
        <w:rPr>
          <w:rFonts w:ascii="Arial" w:hAnsi="Arial" w:cs="Arial"/>
          <w:sz w:val="24"/>
          <w:szCs w:val="24"/>
        </w:rPr>
      </w:pPr>
    </w:p>
    <w:p w14:paraId="67281D18" w14:textId="4139B0BB" w:rsidR="00D81CE4" w:rsidRDefault="0063059C" w:rsidP="0019569D">
      <w:pPr>
        <w:jc w:val="both"/>
        <w:rPr>
          <w:rFonts w:ascii="Arial" w:hAnsi="Arial" w:cs="Arial"/>
          <w:sz w:val="24"/>
          <w:szCs w:val="24"/>
        </w:rPr>
      </w:pPr>
      <w:r w:rsidRPr="00B55555">
        <w:rPr>
          <w:rFonts w:ascii="Arial" w:hAnsi="Arial" w:cs="Arial"/>
          <w:sz w:val="24"/>
          <w:szCs w:val="24"/>
        </w:rPr>
        <w:t xml:space="preserve">3.The proposed development, by reason of failure to provide adequate on-site or off-site car / coach parking and lack of integrated drop off facilities to serve the proposed banqueting facility, would significantly intensify site usage and generated trips. The associated likely </w:t>
      </w:r>
      <w:r w:rsidRPr="0063059C">
        <w:rPr>
          <w:rFonts w:ascii="Arial" w:hAnsi="Arial" w:cs="Arial"/>
          <w:sz w:val="24"/>
          <w:szCs w:val="24"/>
        </w:rPr>
        <w:t>on-site</w:t>
      </w:r>
      <w:r w:rsidRPr="00B55555">
        <w:rPr>
          <w:rFonts w:ascii="Arial" w:hAnsi="Arial" w:cs="Arial"/>
          <w:sz w:val="24"/>
          <w:szCs w:val="24"/>
        </w:rPr>
        <w:t xml:space="preserve"> congestion and parking overspill will be detrimental to the amenities of neighbouring occupiers and to highway safety in Brockley Hill, contrary to the National Planning Policy Framework (2021), Policy T4 of The London Plan (2021), and policies DM 42 E and F, DM 1 B (f) (C) and D (h), policy DM 42 E and F and DM 43 B and C of the Harrow Development Management </w:t>
      </w:r>
      <w:proofErr w:type="gramStart"/>
      <w:r w:rsidRPr="00B55555">
        <w:rPr>
          <w:rFonts w:ascii="Arial" w:hAnsi="Arial" w:cs="Arial"/>
          <w:sz w:val="24"/>
          <w:szCs w:val="24"/>
        </w:rPr>
        <w:t>policies</w:t>
      </w:r>
      <w:proofErr w:type="gramEnd"/>
      <w:r w:rsidRPr="00B55555">
        <w:rPr>
          <w:rFonts w:ascii="Arial" w:hAnsi="Arial" w:cs="Arial"/>
          <w:sz w:val="24"/>
          <w:szCs w:val="24"/>
        </w:rPr>
        <w:t xml:space="preserve"> Local Plan (2013). </w:t>
      </w:r>
    </w:p>
    <w:p w14:paraId="08F10527" w14:textId="77777777" w:rsidR="00D81CE4" w:rsidRDefault="00D81CE4" w:rsidP="0019569D">
      <w:pPr>
        <w:jc w:val="both"/>
        <w:rPr>
          <w:rFonts w:ascii="Arial" w:hAnsi="Arial" w:cs="Arial"/>
          <w:sz w:val="24"/>
          <w:szCs w:val="24"/>
        </w:rPr>
      </w:pPr>
    </w:p>
    <w:p w14:paraId="7385FE78" w14:textId="77777777" w:rsidR="00B55555" w:rsidRDefault="00B55555" w:rsidP="00D81CE4">
      <w:pPr>
        <w:jc w:val="both"/>
        <w:rPr>
          <w:rFonts w:ascii="Arial" w:hAnsi="Arial" w:cs="Arial"/>
          <w:b/>
          <w:bCs/>
          <w:sz w:val="32"/>
          <w:szCs w:val="32"/>
          <w:u w:val="single"/>
        </w:rPr>
      </w:pPr>
    </w:p>
    <w:p w14:paraId="62A89527" w14:textId="152625D4" w:rsidR="00D81CE4" w:rsidRPr="00B55555" w:rsidRDefault="00D81CE4" w:rsidP="00D81CE4">
      <w:pPr>
        <w:jc w:val="both"/>
        <w:rPr>
          <w:rFonts w:ascii="Arial" w:hAnsi="Arial" w:cs="Arial"/>
          <w:sz w:val="24"/>
          <w:szCs w:val="24"/>
        </w:rPr>
      </w:pPr>
      <w:r w:rsidRPr="00B55555">
        <w:rPr>
          <w:rFonts w:ascii="Arial" w:hAnsi="Arial" w:cs="Arial"/>
          <w:b/>
          <w:bCs/>
          <w:sz w:val="24"/>
          <w:szCs w:val="24"/>
          <w:u w:val="single"/>
        </w:rPr>
        <w:t>FOR INFORMATION</w:t>
      </w:r>
    </w:p>
    <w:p w14:paraId="786EF758" w14:textId="77777777" w:rsidR="00D81CE4" w:rsidRPr="00AF3EC4" w:rsidRDefault="00D81CE4" w:rsidP="00D81CE4">
      <w:pPr>
        <w:rPr>
          <w:sz w:val="24"/>
          <w:szCs w:val="24"/>
        </w:rPr>
      </w:pPr>
    </w:p>
    <w:p w14:paraId="5413E6AD" w14:textId="77777777" w:rsidR="00D81CE4" w:rsidRDefault="00D81CE4" w:rsidP="00D81CE4">
      <w:pPr>
        <w:pStyle w:val="Infotext"/>
        <w:rPr>
          <w:b/>
          <w:sz w:val="24"/>
          <w:szCs w:val="24"/>
        </w:rPr>
      </w:pPr>
    </w:p>
    <w:p w14:paraId="076DBCDB" w14:textId="25CBEC93" w:rsidR="00D81CE4" w:rsidRPr="00AF3EC4" w:rsidRDefault="00D81CE4" w:rsidP="00D81CE4">
      <w:pPr>
        <w:pStyle w:val="Infotext"/>
        <w:rPr>
          <w:sz w:val="24"/>
          <w:szCs w:val="24"/>
        </w:rPr>
      </w:pPr>
      <w:r w:rsidRPr="00AF3EC4">
        <w:rPr>
          <w:b/>
          <w:sz w:val="24"/>
          <w:szCs w:val="24"/>
        </w:rPr>
        <w:t>Contact:</w:t>
      </w:r>
      <w:r>
        <w:rPr>
          <w:b/>
          <w:sz w:val="24"/>
          <w:szCs w:val="24"/>
        </w:rPr>
        <w:t xml:space="preserve"> </w:t>
      </w:r>
      <w:r w:rsidRPr="00D81CE4">
        <w:rPr>
          <w:b/>
          <w:bCs/>
          <w:sz w:val="24"/>
          <w:szCs w:val="24"/>
        </w:rPr>
        <w:t>Mwim Chellah</w:t>
      </w:r>
      <w:r w:rsidR="0019569D">
        <w:rPr>
          <w:b/>
          <w:bCs/>
          <w:sz w:val="24"/>
          <w:szCs w:val="24"/>
        </w:rPr>
        <w:t xml:space="preserve">, </w:t>
      </w:r>
      <w:r>
        <w:rPr>
          <w:sz w:val="24"/>
          <w:szCs w:val="24"/>
        </w:rPr>
        <w:t xml:space="preserve">Senior </w:t>
      </w:r>
      <w:r w:rsidRPr="00AF3EC4">
        <w:rPr>
          <w:sz w:val="24"/>
          <w:szCs w:val="24"/>
        </w:rPr>
        <w:t xml:space="preserve">Democratic &amp; Electoral Services </w:t>
      </w:r>
      <w:r>
        <w:rPr>
          <w:sz w:val="24"/>
          <w:szCs w:val="24"/>
        </w:rPr>
        <w:t>Officer</w:t>
      </w:r>
    </w:p>
    <w:p w14:paraId="1546396A" w14:textId="77777777" w:rsidR="00D81CE4" w:rsidRDefault="00D81CE4" w:rsidP="00D81CE4">
      <w:pPr>
        <w:rPr>
          <w:rFonts w:ascii="Arial" w:hAnsi="Arial" w:cs="Arial"/>
          <w:sz w:val="24"/>
          <w:szCs w:val="24"/>
        </w:rPr>
      </w:pPr>
    </w:p>
    <w:p w14:paraId="17F2D130" w14:textId="3EF34260" w:rsidR="00D81CE4" w:rsidRDefault="00D81CE4" w:rsidP="00D81CE4">
      <w:pPr>
        <w:rPr>
          <w:rFonts w:ascii="Arial" w:hAnsi="Arial" w:cs="Arial"/>
          <w:sz w:val="24"/>
          <w:szCs w:val="24"/>
        </w:rPr>
      </w:pPr>
      <w:r>
        <w:rPr>
          <w:rFonts w:ascii="Arial" w:hAnsi="Arial" w:cs="Arial"/>
          <w:sz w:val="24"/>
          <w:szCs w:val="24"/>
        </w:rPr>
        <w:t>Tel: 07761 405 966</w:t>
      </w:r>
    </w:p>
    <w:p w14:paraId="79EAC778" w14:textId="77777777" w:rsidR="00D81CE4" w:rsidRPr="00AF3EC4" w:rsidRDefault="00D81CE4" w:rsidP="00D81CE4">
      <w:pPr>
        <w:rPr>
          <w:rFonts w:ascii="Arial" w:hAnsi="Arial" w:cs="Arial"/>
          <w:sz w:val="24"/>
          <w:szCs w:val="24"/>
        </w:rPr>
      </w:pPr>
    </w:p>
    <w:p w14:paraId="594FD7AE" w14:textId="587A6F67" w:rsidR="00D81CE4" w:rsidRPr="00AF3EC4" w:rsidRDefault="00D81CE4" w:rsidP="00D81CE4">
      <w:pPr>
        <w:rPr>
          <w:rFonts w:ascii="Arial" w:hAnsi="Arial" w:cs="Arial"/>
          <w:sz w:val="24"/>
          <w:szCs w:val="24"/>
        </w:rPr>
      </w:pPr>
      <w:r w:rsidRPr="00AF3EC4">
        <w:rPr>
          <w:rFonts w:ascii="Arial" w:hAnsi="Arial" w:cs="Arial"/>
          <w:sz w:val="24"/>
          <w:szCs w:val="24"/>
        </w:rPr>
        <w:t xml:space="preserve">E-mail: </w:t>
      </w:r>
      <w:hyperlink r:id="rId7" w:history="1">
        <w:r w:rsidRPr="00A3138D">
          <w:rPr>
            <w:rStyle w:val="Hyperlink"/>
            <w:rFonts w:ascii="Arial" w:hAnsi="Arial" w:cs="Arial"/>
            <w:sz w:val="24"/>
            <w:szCs w:val="24"/>
          </w:rPr>
          <w:t>mwimanji.chellah@harrow.gov.uk</w:t>
        </w:r>
      </w:hyperlink>
    </w:p>
    <w:p w14:paraId="0CB9C577" w14:textId="77777777" w:rsidR="00D11D8C" w:rsidRDefault="00D11D8C"/>
    <w:sectPr w:rsidR="00D11D8C" w:rsidSect="000E130D">
      <w:headerReference w:type="first" r:id="rId8"/>
      <w:footerReference w:type="first" r:id="rId9"/>
      <w:pgSz w:w="12240" w:h="15840" w:code="1"/>
      <w:pgMar w:top="1141" w:right="1394" w:bottom="1152" w:left="1309"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775A" w14:textId="77777777" w:rsidR="00704197" w:rsidRDefault="00E33F34">
      <w:r>
        <w:separator/>
      </w:r>
    </w:p>
  </w:endnote>
  <w:endnote w:type="continuationSeparator" w:id="0">
    <w:p w14:paraId="16502979" w14:textId="77777777" w:rsidR="00704197" w:rsidRDefault="00E3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9EAE" w14:textId="37591E07" w:rsidR="00292E3B" w:rsidRDefault="00D81CE4">
    <w:pPr>
      <w:pStyle w:val="Footer"/>
    </w:pPr>
    <w:r>
      <w:rPr>
        <w:noProof/>
      </w:rPr>
      <w:drawing>
        <wp:anchor distT="0" distB="0" distL="114300" distR="114300" simplePos="0" relativeHeight="251659264" behindDoc="0" locked="1" layoutInCell="1" allowOverlap="0" wp14:anchorId="6A8D44C8" wp14:editId="08F4EDF2">
          <wp:simplePos x="0" y="0"/>
          <wp:positionH relativeFrom="column">
            <wp:posOffset>-534035</wp:posOffset>
          </wp:positionH>
          <wp:positionV relativeFrom="page">
            <wp:posOffset>8467090</wp:posOffset>
          </wp:positionV>
          <wp:extent cx="2057400" cy="370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2057400" cy="370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544E" w14:textId="77777777" w:rsidR="00704197" w:rsidRDefault="00E33F34">
      <w:r>
        <w:separator/>
      </w:r>
    </w:p>
  </w:footnote>
  <w:footnote w:type="continuationSeparator" w:id="0">
    <w:p w14:paraId="6EB87242" w14:textId="77777777" w:rsidR="00704197" w:rsidRDefault="00E3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9C26" w14:textId="77777777" w:rsidR="004B7F92" w:rsidRDefault="00985956" w:rsidP="002B68AF">
    <w:pPr>
      <w:pStyle w:val="Header"/>
    </w:pPr>
  </w:p>
  <w:p w14:paraId="08374270" w14:textId="77777777" w:rsidR="004B7F92" w:rsidRDefault="00985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5D6"/>
    <w:multiLevelType w:val="hybridMultilevel"/>
    <w:tmpl w:val="8932DE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E4"/>
    <w:rsid w:val="0019569D"/>
    <w:rsid w:val="0025587F"/>
    <w:rsid w:val="0063059C"/>
    <w:rsid w:val="00704197"/>
    <w:rsid w:val="00815257"/>
    <w:rsid w:val="00930FE4"/>
    <w:rsid w:val="00985956"/>
    <w:rsid w:val="00AD2A4F"/>
    <w:rsid w:val="00B55555"/>
    <w:rsid w:val="00D11D8C"/>
    <w:rsid w:val="00D81CE4"/>
    <w:rsid w:val="00E3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20CA3"/>
  <w15:chartTrackingRefBased/>
  <w15:docId w15:val="{D49045C4-E645-4156-B899-2F8C0CD8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1CE4"/>
    <w:pPr>
      <w:tabs>
        <w:tab w:val="center" w:pos="4153"/>
        <w:tab w:val="right" w:pos="8306"/>
      </w:tabs>
    </w:pPr>
    <w:rPr>
      <w:sz w:val="24"/>
      <w:szCs w:val="24"/>
      <w:lang w:val="en-US"/>
    </w:rPr>
  </w:style>
  <w:style w:type="character" w:customStyle="1" w:styleId="FooterChar">
    <w:name w:val="Footer Char"/>
    <w:basedOn w:val="DefaultParagraphFont"/>
    <w:link w:val="Footer"/>
    <w:rsid w:val="00D81CE4"/>
    <w:rPr>
      <w:rFonts w:ascii="Times New Roman" w:eastAsia="Times New Roman" w:hAnsi="Times New Roman" w:cs="Times New Roman"/>
      <w:sz w:val="24"/>
      <w:szCs w:val="24"/>
      <w:lang w:val="en-US"/>
    </w:rPr>
  </w:style>
  <w:style w:type="paragraph" w:customStyle="1" w:styleId="Infotext">
    <w:name w:val="Info text"/>
    <w:basedOn w:val="Normal"/>
    <w:rsid w:val="00D81CE4"/>
    <w:rPr>
      <w:rFonts w:ascii="Arial" w:hAnsi="Arial"/>
      <w:sz w:val="28"/>
    </w:rPr>
  </w:style>
  <w:style w:type="paragraph" w:styleId="Header">
    <w:name w:val="header"/>
    <w:basedOn w:val="Normal"/>
    <w:link w:val="HeaderChar"/>
    <w:rsid w:val="00D81CE4"/>
    <w:pPr>
      <w:tabs>
        <w:tab w:val="center" w:pos="4320"/>
        <w:tab w:val="right" w:pos="8640"/>
      </w:tabs>
    </w:pPr>
  </w:style>
  <w:style w:type="character" w:customStyle="1" w:styleId="HeaderChar">
    <w:name w:val="Header Char"/>
    <w:basedOn w:val="DefaultParagraphFont"/>
    <w:link w:val="Header"/>
    <w:rsid w:val="00D81CE4"/>
    <w:rPr>
      <w:rFonts w:ascii="Times New Roman" w:eastAsia="Times New Roman" w:hAnsi="Times New Roman" w:cs="Times New Roman"/>
      <w:sz w:val="20"/>
      <w:szCs w:val="20"/>
    </w:rPr>
  </w:style>
  <w:style w:type="character" w:styleId="Hyperlink">
    <w:name w:val="Hyperlink"/>
    <w:rsid w:val="00D81CE4"/>
    <w:rPr>
      <w:color w:val="0000FF"/>
      <w:u w:val="single"/>
    </w:rPr>
  </w:style>
  <w:style w:type="paragraph" w:customStyle="1" w:styleId="CharChar1Char">
    <w:name w:val="Char Char1 Char"/>
    <w:basedOn w:val="Normal"/>
    <w:rsid w:val="00D81CE4"/>
    <w:pPr>
      <w:spacing w:after="160" w:line="240" w:lineRule="exact"/>
    </w:pPr>
    <w:rPr>
      <w:rFonts w:ascii="Tahoma" w:hAnsi="Tahoma"/>
      <w:lang w:eastAsia="en-GB"/>
    </w:rPr>
  </w:style>
  <w:style w:type="character" w:styleId="UnresolvedMention">
    <w:name w:val="Unresolved Mention"/>
    <w:basedOn w:val="DefaultParagraphFont"/>
    <w:uiPriority w:val="99"/>
    <w:semiHidden/>
    <w:unhideWhenUsed/>
    <w:rsid w:val="00D81CE4"/>
    <w:rPr>
      <w:color w:val="605E5C"/>
      <w:shd w:val="clear" w:color="auto" w:fill="E1DFDD"/>
    </w:rPr>
  </w:style>
  <w:style w:type="paragraph" w:styleId="ListParagraph">
    <w:name w:val="List Paragraph"/>
    <w:basedOn w:val="Normal"/>
    <w:uiPriority w:val="34"/>
    <w:qFormat/>
    <w:rsid w:val="0019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imanji.chellah@harr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Mwimanji Chellah</dc:creator>
  <cp:keywords/>
  <dc:description/>
  <cp:lastModifiedBy>Mwimanji Chellah</cp:lastModifiedBy>
  <cp:revision>3</cp:revision>
  <dcterms:created xsi:type="dcterms:W3CDTF">2022-09-16T09:23:00Z</dcterms:created>
  <dcterms:modified xsi:type="dcterms:W3CDTF">2022-09-16T09:49:00Z</dcterms:modified>
</cp:coreProperties>
</file>